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20"/>
        <w:jc w:val="center"/>
        <w:rPr>
          <w:rFonts w:ascii="Times New Roman" w:hAnsi="Times New Roman" w:cs="Times New Roman"/>
          <w:b/>
          <w:bCs/>
          <w:sz w:val="24"/>
          <w:szCs w:val="24"/>
        </w:rPr>
      </w:pPr>
      <w:r>
        <w:rPr>
          <w:rFonts w:cs="Times New Roman" w:ascii="Times New Roman" w:hAnsi="Times New Roman"/>
          <w:b/>
          <w:bCs/>
          <w:sz w:val="24"/>
          <w:szCs w:val="24"/>
        </w:rPr>
        <w:t>AHİLİK VE TİCARET AHLAKI</w:t>
      </w:r>
    </w:p>
    <w:p>
      <w:pPr>
        <w:pStyle w:val="Normal"/>
        <w:widowControl w:val="false"/>
        <w:spacing w:before="0" w:after="120"/>
        <w:ind w:firstLine="567"/>
        <w:jc w:val="both"/>
        <w:rPr>
          <w:rFonts w:ascii="Times New Roman" w:hAnsi="Times New Roman" w:cs="Times New Roman"/>
        </w:rPr>
      </w:pPr>
      <w:r>
        <w:rPr>
          <w:rFonts w:cs="Times New Roman" w:ascii="Times New Roman" w:hAnsi="Times New Roman"/>
          <w:sz w:val="24"/>
          <w:szCs w:val="24"/>
        </w:rPr>
        <w:t>Kişinin hayatını devam ettirmesi, kendi ve sorumluluğu altındakilerin ihtiyaçlarını giderebilmesi için çalışması, üretmesi ve ihtiyacı olanı satın alması gerekmektedir. İslam dini, ticarette aldatmaya, haksız kazanca, güvensizliğe yol açacak bütün yolları kapatmış, ticarî hayatı dinî ve ahlakî ilkelerle tanzim etmiştir.</w:t>
      </w:r>
    </w:p>
    <w:p>
      <w:pPr>
        <w:pStyle w:val="Normal"/>
        <w:widowControl w:val="false"/>
        <w:spacing w:before="0" w:after="120"/>
        <w:ind w:firstLine="567"/>
        <w:jc w:val="both"/>
        <w:rPr>
          <w:rFonts w:ascii="Times New Roman" w:hAnsi="Times New Roman" w:eastAsia="Times New Roman" w:cs="Times New Roman"/>
          <w:bCs/>
          <w:sz w:val="24"/>
          <w:szCs w:val="24"/>
        </w:rPr>
      </w:pPr>
      <w:r>
        <w:rPr>
          <w:rFonts w:cs="Times New Roman" w:ascii="Times New Roman" w:hAnsi="Times New Roman"/>
          <w:bCs/>
          <w:sz w:val="24"/>
          <w:szCs w:val="24"/>
        </w:rPr>
        <w:t>Ticarette ve alışverişte en önemli ölçü dürüstlüktür. Satılan malın kalitesi, sağlamlığı, varsa kusuru gizlenmeden, yalan söylenmeden karşı tarafa bildirilmelidir. Allah Resulü (s.a.s.) sözünde ve işinde doğru tüccar hakkında şöyle buyurmuştur:</w:t>
      </w:r>
      <w:r>
        <w:rPr>
          <w:b/>
          <w:sz w:val="24"/>
          <w:szCs w:val="24"/>
        </w:rPr>
        <w:t xml:space="preserve"> </w:t>
      </w:r>
      <w:r>
        <w:rPr>
          <w:rFonts w:eastAsia="Times New Roman" w:cs="Times New Roman" w:ascii="Times New Roman" w:hAnsi="Times New Roman"/>
          <w:b/>
          <w:bCs/>
          <w:i/>
          <w:iCs/>
          <w:sz w:val="24"/>
          <w:szCs w:val="24"/>
        </w:rPr>
        <w:t>“Doğru sözlü, dürüst ve güvenilir tacir</w:t>
      </w:r>
      <w:r>
        <w:rPr>
          <w:rFonts w:eastAsia="Times New Roman" w:cs="Times New Roman" w:ascii="Times New Roman" w:hAnsi="Times New Roman"/>
          <w:b/>
          <w:i/>
          <w:iCs/>
          <w:sz w:val="24"/>
          <w:szCs w:val="24"/>
        </w:rPr>
        <w:t>, peygamberler, sıddıklar ve şehitlerle beraberdir.”</w:t>
      </w:r>
      <w:r>
        <w:rPr>
          <w:rFonts w:eastAsia="Times New Roman" w:cs="Times New Roman" w:ascii="Times New Roman" w:hAnsi="Times New Roman"/>
          <w:b/>
          <w:sz w:val="24"/>
          <w:szCs w:val="24"/>
        </w:rPr>
        <w:t xml:space="preserve"> </w:t>
      </w:r>
      <w:r>
        <w:rPr>
          <w:rFonts w:eastAsia="Times New Roman" w:cs="Times New Roman" w:ascii="Times New Roman" w:hAnsi="Times New Roman"/>
          <w:bCs/>
          <w:sz w:val="24"/>
          <w:szCs w:val="24"/>
        </w:rPr>
        <w:t>(Tirmizi, Büyu’, 4; İbn Mace, Ticaret, 1)</w:t>
      </w:r>
    </w:p>
    <w:p>
      <w:pPr>
        <w:pStyle w:val="Normal"/>
        <w:spacing w:before="0" w:after="120"/>
        <w:ind w:firstLine="567"/>
        <w:jc w:val="left"/>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Dürüstlüğün zıttı olan yalan söz ve yalan yemin Müslüman’a yakışmayan davranışlardandır. Ticaret hayatında aldatma, hile, sözünde durmama, yalan söyleme kişinin itibarını kaybetmesine ve güvenin zedelenmesine neden olur. Uhrevî boyutuyla bunlar kul hakkıdır. Dünyada telafi edilmediğinde ahirette hüsrana uğramasına sebep olacaktır.</w:t>
      </w:r>
    </w:p>
    <w:p>
      <w:pPr>
        <w:pStyle w:val="Normal"/>
        <w:spacing w:before="0" w:after="120"/>
        <w:ind w:firstLine="567"/>
        <w:jc w:val="left"/>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Çalışan işçi veya memur işini iyi yapmalıdır. Mesaisine dikkat etmeli, aldığı ücretin hakkını vermelidir. Rabbimiz, </w:t>
      </w:r>
      <w:r>
        <w:rPr>
          <w:rFonts w:eastAsia="Times New Roman" w:cs="Times New Roman" w:ascii="Times New Roman" w:hAnsi="Times New Roman"/>
          <w:b/>
          <w:i/>
          <w:iCs/>
          <w:sz w:val="24"/>
          <w:szCs w:val="24"/>
        </w:rPr>
        <w:t xml:space="preserve">“Yaptığınızı güzel yapın; Allah güzel yapanları sever.” </w:t>
      </w:r>
      <w:r>
        <w:rPr>
          <w:rFonts w:eastAsia="Times New Roman" w:cs="Times New Roman" w:ascii="Times New Roman" w:hAnsi="Times New Roman"/>
          <w:bCs/>
          <w:sz w:val="24"/>
          <w:szCs w:val="24"/>
        </w:rPr>
        <w:t>(Bakara 2/195) buyurmuştur. İşveren ise çalışanın hakkını gözetmeli, mesaisinin ücretini zamanında ödemeli, maddi ve manevi olarak onu mağdur etmemelidir. Peygamber Efendimiz (s.a.s.) şöyle buyurmuştur: “</w:t>
      </w:r>
      <w:r>
        <w:rPr>
          <w:rFonts w:eastAsia="Times New Roman" w:cs="Times New Roman" w:ascii="Times New Roman" w:hAnsi="Times New Roman"/>
          <w:b/>
          <w:i/>
          <w:iCs/>
          <w:sz w:val="24"/>
          <w:szCs w:val="24"/>
        </w:rPr>
        <w:t>İşçiye ücretini (alnının) teri kurumadan veriniz.”</w:t>
      </w:r>
      <w:r>
        <w:rPr>
          <w:rFonts w:eastAsia="Times New Roman" w:cs="Times New Roman" w:ascii="Times New Roman" w:hAnsi="Times New Roman"/>
          <w:bCs/>
          <w:sz w:val="24"/>
          <w:szCs w:val="24"/>
        </w:rPr>
        <w:t xml:space="preserve"> (İbn Mace, Ruhun 4).</w:t>
      </w:r>
    </w:p>
    <w:p>
      <w:pPr>
        <w:pStyle w:val="Normal"/>
        <w:spacing w:before="0" w:after="120"/>
        <w:ind w:firstLine="567"/>
        <w:jc w:val="both"/>
        <w:rPr>
          <w:rFonts w:ascii="Times New Roman" w:hAnsi="Times New Roman" w:cs="Times New Roman"/>
          <w:sz w:val="24"/>
          <w:szCs w:val="24"/>
        </w:rPr>
      </w:pPr>
      <w:r>
        <w:rPr>
          <w:rFonts w:eastAsia="Times New Roman" w:cs="Times New Roman" w:ascii="Times New Roman" w:hAnsi="Times New Roman"/>
          <w:sz w:val="24"/>
          <w:szCs w:val="24"/>
        </w:rPr>
        <w:t>Borçlu imkânı olduğu müddetçe söz verdiği zamanda borcunu ödemelidir</w:t>
      </w:r>
      <w:r>
        <w:rPr>
          <w:rFonts w:cs="Times New Roman" w:ascii="Times New Roman" w:hAnsi="Times New Roman"/>
          <w:sz w:val="24"/>
          <w:szCs w:val="24"/>
        </w:rPr>
        <w:t xml:space="preserve">. </w:t>
      </w:r>
      <w:r>
        <w:rPr>
          <w:rFonts w:eastAsia="Times New Roman" w:cs="Times New Roman" w:ascii="Times New Roman" w:hAnsi="Times New Roman"/>
          <w:sz w:val="24"/>
          <w:szCs w:val="24"/>
        </w:rPr>
        <w:t>Peygamber Efendimiz (s.a.s.) şöyle buyurmuştur:</w:t>
      </w:r>
      <w:r>
        <w:rPr>
          <w:rFonts w:cs="Times New Roman" w:ascii="Times New Roman" w:hAnsi="Times New Roman"/>
          <w:b/>
          <w:bCs/>
          <w:sz w:val="24"/>
          <w:szCs w:val="24"/>
        </w:rPr>
        <w:t xml:space="preserve"> “</w:t>
      </w:r>
      <w:r>
        <w:rPr>
          <w:rFonts w:cs="Times New Roman" w:ascii="Times New Roman" w:hAnsi="Times New Roman"/>
          <w:b/>
          <w:bCs/>
          <w:i/>
          <w:iCs/>
          <w:sz w:val="24"/>
          <w:szCs w:val="24"/>
        </w:rPr>
        <w:t xml:space="preserve">Maddi </w:t>
      </w:r>
      <w:bookmarkStart w:id="0" w:name="_GoBack"/>
      <w:bookmarkEnd w:id="0"/>
      <w:r>
        <w:rPr>
          <w:rFonts w:cs="Times New Roman" w:ascii="Times New Roman" w:hAnsi="Times New Roman"/>
          <w:b/>
          <w:bCs/>
          <w:i/>
          <w:iCs/>
          <w:sz w:val="24"/>
          <w:szCs w:val="24"/>
        </w:rPr>
        <w:t>imkânı olan kişinin borcunu bekletmesi zulümdür.”</w:t>
      </w:r>
      <w:r>
        <w:rPr>
          <w:rFonts w:cs="Times New Roman" w:ascii="Times New Roman" w:hAnsi="Times New Roman"/>
          <w:b/>
          <w:bCs/>
          <w:sz w:val="24"/>
          <w:szCs w:val="24"/>
        </w:rPr>
        <w:t xml:space="preserve"> </w:t>
      </w:r>
      <w:r>
        <w:rPr>
          <w:rFonts w:cs="Times New Roman" w:ascii="Times New Roman" w:hAnsi="Times New Roman"/>
          <w:sz w:val="18"/>
          <w:szCs w:val="18"/>
        </w:rPr>
        <w:t>(</w:t>
      </w:r>
      <w:r>
        <w:rPr>
          <w:rFonts w:cs="Times New Roman" w:ascii="Times New Roman" w:hAnsi="Times New Roman"/>
          <w:sz w:val="24"/>
          <w:szCs w:val="24"/>
        </w:rPr>
        <w:t xml:space="preserve">Müslim, Müsakat, 33) </w:t>
      </w:r>
      <w:r>
        <w:rPr>
          <w:rFonts w:cs="Times New Roman" w:ascii="Times New Roman" w:hAnsi="Times New Roman"/>
          <w:b/>
          <w:bCs/>
          <w:sz w:val="24"/>
          <w:szCs w:val="24"/>
        </w:rPr>
        <w:t>“</w:t>
      </w:r>
      <w:r>
        <w:rPr>
          <w:rFonts w:cs="Times New Roman" w:ascii="Times New Roman" w:hAnsi="Times New Roman"/>
          <w:b/>
          <w:bCs/>
          <w:i/>
          <w:iCs/>
          <w:sz w:val="24"/>
          <w:szCs w:val="24"/>
        </w:rPr>
        <w:t>Sizin en hayırlınız borcunu en iyi şekilde ödeyeninizdir.”</w:t>
      </w:r>
      <w:r>
        <w:rPr>
          <w:rFonts w:cs="Times New Roman" w:ascii="Times New Roman" w:hAnsi="Times New Roman"/>
          <w:b/>
          <w:bCs/>
          <w:sz w:val="24"/>
          <w:szCs w:val="24"/>
        </w:rPr>
        <w:t xml:space="preserve"> </w:t>
      </w:r>
      <w:r>
        <w:rPr>
          <w:rFonts w:cs="Times New Roman" w:ascii="Times New Roman" w:hAnsi="Times New Roman"/>
          <w:sz w:val="24"/>
          <w:szCs w:val="24"/>
        </w:rPr>
        <w:t>(Buhari, Vekalet, 5)</w:t>
      </w:r>
    </w:p>
    <w:p>
      <w:pPr>
        <w:pStyle w:val="Normal"/>
        <w:spacing w:before="0" w:after="120"/>
        <w:ind w:firstLine="567"/>
        <w:jc w:val="both"/>
        <w:rPr>
          <w:rFonts w:ascii="Times New Roman" w:hAnsi="Times New Roman" w:eastAsia="Times New Roman" w:cs="Times New Roman"/>
          <w:b/>
          <w:sz w:val="24"/>
          <w:szCs w:val="24"/>
        </w:rPr>
      </w:pPr>
      <w:r>
        <w:rPr>
          <w:rFonts w:eastAsia="Times New Roman" w:cs="Times New Roman" w:ascii="Times New Roman" w:hAnsi="Times New Roman"/>
          <w:sz w:val="24"/>
          <w:szCs w:val="24"/>
        </w:rPr>
        <w:t xml:space="preserve">Samimiyet, iyi niyet ticarî hayatta önemli ahlaki ilkelerden biridir. Kişinin kendi kazancını düşünmekle birlikte, başkalarını da düşünmesi gerekir. </w:t>
      </w:r>
      <w:r>
        <w:rPr>
          <w:rFonts w:eastAsia="Times New Roman" w:cs="Times New Roman" w:ascii="Times New Roman" w:hAnsi="Times New Roman"/>
          <w:bCs/>
          <w:sz w:val="24"/>
          <w:szCs w:val="24"/>
        </w:rPr>
        <w:t xml:space="preserve"> Maalesef günümüzde madde, haz, kazanç ve harcama üzerine kurulu dünya düzeni oluşturulmaya çalışılmaktadır. İslam dini hayatın sadece bu dünya ve maddiyat üzerine olmadığını, ahiretin ve değerlerin</w:t>
      </w:r>
      <w:r>
        <w:rPr>
          <w:rFonts w:eastAsia="Times New Roman" w:cs="Times New Roman"/>
          <w:bCs/>
          <w:sz w:val="24"/>
          <w:szCs w:val="24"/>
          <w:lang w:val="en-US"/>
        </w:rPr>
        <w:t xml:space="preserve"> de</w:t>
      </w:r>
      <w:r>
        <w:rPr>
          <w:rFonts w:eastAsia="Times New Roman" w:cs="Times New Roman" w:ascii="Times New Roman" w:hAnsi="Times New Roman"/>
          <w:bCs/>
          <w:sz w:val="24"/>
          <w:szCs w:val="24"/>
        </w:rPr>
        <w:t xml:space="preserve"> olduğunu bize hatırlatmaktadır. </w:t>
      </w:r>
    </w:p>
    <w:p>
      <w:pPr>
        <w:pStyle w:val="ListParagraph"/>
        <w:spacing w:before="0" w:after="120"/>
        <w:ind w:left="0" w:firstLine="567"/>
        <w:contextualSpacing/>
        <w:jc w:val="left"/>
        <w:rPr>
          <w:rFonts w:ascii="Times New Roman" w:hAnsi="Times New Roman" w:cs="Times New Roman"/>
          <w:sz w:val="24"/>
          <w:szCs w:val="24"/>
        </w:rPr>
      </w:pPr>
      <w:r>
        <w:rPr>
          <w:rFonts w:cs="Times New Roman" w:ascii="Times New Roman" w:hAnsi="Times New Roman"/>
          <w:sz w:val="24"/>
          <w:szCs w:val="24"/>
        </w:rPr>
        <w:t>Ticaret erbabının kazanması, sermayesini çoğaltması elbette normaldir. Ancak fiyatların yükselmesi için malı stok yapması, insanların ihtiyacı varken satmaması hem dînî hem de insanî olarak doğru kabul edilmez. İslam ticaret hukukunda karaborsacılık yasaklanmıştır. Karaborsacılıkla piyasada yapay bir kıtlık oluşturularak piyasa istikrarının bozulmasına sebep olunmaktadır. Karaborsacılık, İslam’ın ruhuna uymayan, şefkat ve merhamet esasına dayanan İslam ahlakına ters, dinen çirkin ve kötü bir davranış olarak kabul edilmiştir.</w:t>
      </w:r>
    </w:p>
    <w:p>
      <w:pPr>
        <w:pStyle w:val="ListParagraph"/>
        <w:spacing w:before="0" w:after="120"/>
        <w:ind w:left="0" w:firstLine="567"/>
        <w:contextualSpacing/>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Ecdadımız, ticari hayatta sevgiyi, saygıyı, kardeşliği, merhameti, doğruluğu, yardımlaşmayı ve dayanışmayı hâkim kılmak için Ahilik teşkilatını kurmuştur. Ahilik değerler sisteminin temelinde bir taraftan kardeşlik anlayışı, diğer taraftan helal ve haram bilinci vardır. Ahilikte en ideal örnek Hz. Peygamber’dir (s.a.s.). Ahilik düsturlarının temeli ise Kur’an ve sünnettir.</w:t>
      </w:r>
    </w:p>
    <w:p>
      <w:pPr>
        <w:pStyle w:val="MetinGvdesiGirintisi"/>
        <w:widowControl w:val="false"/>
        <w:spacing w:lineRule="auto" w:line="276" w:before="0" w:after="120"/>
        <w:ind w:firstLine="567"/>
        <w:rPr>
          <w:rFonts w:ascii="Times New Roman" w:hAnsi="Times New Roman" w:cs="Times New Roman"/>
          <w:i/>
          <w:i/>
          <w:iCs/>
          <w:color w:val="000000"/>
          <w:sz w:val="24"/>
          <w:szCs w:val="24"/>
        </w:rPr>
      </w:pPr>
      <w:r>
        <w:rPr>
          <w:rFonts w:cs="Times New Roman"/>
          <w:color w:val="000000"/>
          <w:sz w:val="24"/>
          <w:szCs w:val="24"/>
        </w:rPr>
        <w:t xml:space="preserve">Ahilik teşkilatına intisap edecek kişiye daha ilk adımda uyması gereken dinî ve ahlaki emirler hatırlatılmakta, bunlardan herhangi birisine uymadığı ya da fütüvvet ehline yakışmayan bir harekette bulunduğunda derhal meslekten ihraç edileceği kendisine bildirilmektedir. Ahiliğe giriş merasiminde </w:t>
      </w:r>
      <w:r>
        <w:rPr>
          <w:rFonts w:cs="Times New Roman"/>
          <w:i/>
          <w:iCs/>
          <w:color w:val="000000"/>
          <w:sz w:val="24"/>
          <w:szCs w:val="24"/>
        </w:rPr>
        <w:t>“Nereye varırsan izzet ve hürmetle var, nerede oturursan edeple otur, bir söz söylersen hikmetle söyle, söylemezsen dinle, kalktın mı hizmetle kalk”</w:t>
      </w:r>
      <w:r>
        <w:rPr>
          <w:rFonts w:cs="Times New Roman"/>
          <w:color w:val="000000"/>
          <w:sz w:val="24"/>
          <w:szCs w:val="24"/>
        </w:rPr>
        <w:t xml:space="preserve"> denilerek uyulması gereken dört emir bildirilmektedir. </w:t>
      </w:r>
      <w:r>
        <w:rPr>
          <w:sz w:val="24"/>
          <w:szCs w:val="24"/>
        </w:rPr>
        <w:t xml:space="preserve">Şed kuşanırken de şu sekiz öğüt verilirdi: </w:t>
      </w:r>
      <w:r>
        <w:rPr>
          <w:i/>
          <w:iCs/>
          <w:sz w:val="24"/>
          <w:szCs w:val="24"/>
        </w:rPr>
        <w:t xml:space="preserve">“Allah’ın yolunu hatırla, dinini gözet, çekinme yolunu sıkı tut, ahiret işlerine hazırlan, insanların ayıplarını ört, kötü huyunu gider, insafı ver ve ahiret yurdunu al.” </w:t>
      </w:r>
    </w:p>
    <w:p>
      <w:pPr>
        <w:pStyle w:val="MetinGvdesiGirintisi"/>
        <w:widowControl w:val="false"/>
        <w:spacing w:lineRule="auto" w:line="276"/>
        <w:ind w:firstLine="567"/>
        <w:rPr>
          <w:rFonts w:ascii="Times New Roman" w:hAnsi="Times New Roman" w:cs="Times New Roman"/>
          <w:color w:val="000000"/>
          <w:sz w:val="24"/>
          <w:szCs w:val="24"/>
        </w:rPr>
      </w:pPr>
      <w:r>
        <w:rPr>
          <w:rFonts w:cs="Times New Roman"/>
          <w:color w:val="000000"/>
          <w:sz w:val="24"/>
          <w:szCs w:val="24"/>
        </w:rPr>
        <w:t>Çankırı’nın geleneksel “Yaran” kültürünün de temelinde Ahilik vardır. Yaran</w:t>
      </w:r>
      <w:r>
        <w:rPr>
          <w:rFonts w:cs="Times New Roman"/>
          <w:color w:val="000000"/>
          <w:sz w:val="24"/>
          <w:szCs w:val="24"/>
          <w:lang w:val="en-US"/>
        </w:rPr>
        <w:t>;</w:t>
      </w:r>
      <w:r>
        <w:rPr>
          <w:rFonts w:cs="Times New Roman"/>
          <w:color w:val="000000"/>
          <w:sz w:val="24"/>
          <w:szCs w:val="24"/>
        </w:rPr>
        <w:t xml:space="preserve"> saygı,  dürüstlük, misafirperverlik, görgü kuralları, yardımlaşma ve dayanışma, iş-meslek ahlakı gibi pek çok değerlerin, ahlak esaslarının öğrenildiği yerdir. Hem ahinin hem de yaranın kapısı açıktır yani misafirperverdir. Kalbi açıktır, kimseye karşı kin ve nefret beslemez. Alnı açıktır, yüz kızartıcı, mahcup edici işler yapmaz. Eli kapalıdır, harama el uzatmaz. Dili kapalıdır</w:t>
      </w:r>
      <w:r>
        <w:rPr>
          <w:rFonts w:cs="Times New Roman"/>
          <w:color w:val="000000"/>
          <w:sz w:val="24"/>
          <w:szCs w:val="24"/>
          <w:lang w:val="en-US"/>
        </w:rPr>
        <w:t>,</w:t>
      </w:r>
      <w:r>
        <w:rPr>
          <w:rFonts w:cs="Times New Roman"/>
          <w:color w:val="000000"/>
          <w:sz w:val="24"/>
          <w:szCs w:val="24"/>
        </w:rPr>
        <w:t xml:space="preserve"> kimse hakkında yalan, gıybet, iftira gibi kötü sözler söylemez. Gözü kapalıdır, ahlakı güzeldir, iffetlidir.</w:t>
      </w:r>
    </w:p>
    <w:p>
      <w:pPr>
        <w:pStyle w:val="Normal"/>
        <w:spacing w:before="0" w:after="12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Rabbim bizleri, kazancını helal yoldan kazanan, işini iyi yapan, alışverişini meşru ölçüler doğrultusunda gerçekleştiren kullarından eylesin.</w:t>
      </w:r>
    </w:p>
    <w:p>
      <w:pPr>
        <w:pStyle w:val="NoSpacing"/>
        <w:rPr/>
      </w:pPr>
      <w:r>
        <w:rPr>
          <w:b/>
          <w:bCs/>
        </w:rPr>
        <w:t xml:space="preserve">                                                                                                                   </w:t>
      </w:r>
      <w:r>
        <w:rPr/>
        <w:t>Hüseyin YAZICI</w:t>
      </w:r>
    </w:p>
    <w:p>
      <w:pPr>
        <w:pStyle w:val="NoSpacing"/>
        <w:rPr/>
      </w:pPr>
      <w:r>
        <w:rPr/>
        <w:t xml:space="preserve">                                                                                                                          </w:t>
      </w:r>
      <w:r>
        <w:rPr/>
        <w:t>İl Vaizi</w:t>
      </w:r>
    </w:p>
    <w:p>
      <w:pPr>
        <w:pStyle w:val="Normal"/>
        <w:ind w:firstLine="425"/>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before="0" w:after="200"/>
        <w:jc w:val="both"/>
        <w:rPr>
          <w:rFonts w:ascii="Times New Roman" w:hAnsi="Times New Roman" w:cs="Times New Roman"/>
          <w:sz w:val="24"/>
          <w:szCs w:val="24"/>
        </w:rPr>
      </w:pPr>
      <w:r>
        <w:rPr/>
      </w:r>
    </w:p>
    <w:sectPr>
      <w:footerReference w:type="default" r:id="rId2"/>
      <w:type w:val="nextPage"/>
      <w:pgSz w:w="11906" w:h="16838"/>
      <w:pgMar w:left="1134" w:right="851" w:gutter="0" w:header="0" w:top="851" w:footer="123"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KuranFont">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Altbilgi"/>
      <w:jc w:val="center"/>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Arial"/>
        <w:sz w:val="22"/>
        <w:szCs w:val="22"/>
        <w:lang w:val="tr-TR" w:eastAsia="tr-TR" w:bidi="ar-SA"/>
      </w:rPr>
    </w:rPrDefault>
    <w:pPrDefault>
      <w:pPr>
        <w:suppressAutoHyphens w:val="true"/>
      </w:pPr>
    </w:pPrDefault>
  </w:docDefaults>
  <w:style w:type="paragraph" w:styleId="Normal" w:default="1">
    <w:name w:val="Normal"/>
    <w:qFormat/>
    <w:pPr>
      <w:widowControl/>
      <w:bidi w:val="0"/>
      <w:spacing w:lineRule="auto" w:line="276" w:before="0" w:after="200"/>
      <w:jc w:val="left"/>
    </w:pPr>
    <w:rPr>
      <w:rFonts w:ascii="Calibri" w:hAnsi="Calibri" w:eastAsia="宋体" w:cs="Arial"/>
      <w:color w:val="auto"/>
      <w:kern w:val="0"/>
      <w:sz w:val="22"/>
      <w:szCs w:val="22"/>
      <w:lang w:val="tr-TR" w:eastAsia="tr-TR" w:bidi="ar-SA"/>
    </w:rPr>
  </w:style>
  <w:style w:type="character" w:styleId="DefaultParagraphFont" w:default="1">
    <w:name w:val="Default Paragraph Font"/>
    <w:uiPriority w:val="1"/>
    <w:qFormat/>
    <w:rPr/>
  </w:style>
  <w:style w:type="character" w:styleId="StbilgiChar" w:customStyle="1">
    <w:name w:val="Üstbilgi Char"/>
    <w:basedOn w:val="DefaultParagraphFont"/>
    <w:uiPriority w:val="99"/>
    <w:qFormat/>
    <w:rPr/>
  </w:style>
  <w:style w:type="character" w:styleId="AltbilgiChar" w:customStyle="1">
    <w:name w:val="Altbilgi Char"/>
    <w:basedOn w:val="DefaultParagraphFont"/>
    <w:uiPriority w:val="99"/>
    <w:qFormat/>
    <w:rPr/>
  </w:style>
  <w:style w:type="character" w:styleId="DipnotMetniChar" w:customStyle="1">
    <w:name w:val="Dipnot Metni Char"/>
    <w:basedOn w:val="DefaultParagraphFont"/>
    <w:qFormat/>
    <w:rPr>
      <w:rFonts w:ascii="Times New Roman" w:hAnsi="Times New Roman" w:eastAsia="Times New Roman" w:cs="Times New Roman"/>
      <w:sz w:val="20"/>
      <w:szCs w:val="20"/>
    </w:rPr>
  </w:style>
  <w:style w:type="character" w:styleId="DipnotKarakterleri">
    <w:name w:val="Dipnot Karakterleri"/>
    <w:basedOn w:val="DefaultParagraphFont"/>
    <w:qFormat/>
    <w:rPr>
      <w:vertAlign w:val="superscript"/>
    </w:rPr>
  </w:style>
  <w:style w:type="character" w:styleId="DipnotSabitleyicisi">
    <w:name w:val="Footnote Reference"/>
    <w:rPr>
      <w:vertAlign w:val="superscript"/>
    </w:rPr>
  </w:style>
  <w:style w:type="character" w:styleId="GvdeMetniGirintisiChar" w:customStyle="1">
    <w:name w:val="Gövde Metni Girintisi Char"/>
    <w:basedOn w:val="DefaultParagraphFont"/>
    <w:qFormat/>
    <w:rPr>
      <w:rFonts w:ascii="Times New Roman" w:hAnsi="Times New Roman" w:eastAsia="Times New Roman" w:cs="Times New Roman"/>
      <w:sz w:val="28"/>
      <w:szCs w:val="28"/>
    </w:rPr>
  </w:style>
  <w:style w:type="character" w:styleId="KonuBalChar" w:customStyle="1">
    <w:name w:val="Konu Başlığı Char"/>
    <w:basedOn w:val="DefaultParagraphFont"/>
    <w:qFormat/>
    <w:rPr>
      <w:rFonts w:ascii="Times New Roman" w:hAnsi="Times New Roman" w:eastAsia="Times New Roman" w:cs="Times New Roman"/>
      <w:b/>
      <w:bCs/>
      <w:sz w:val="20"/>
      <w:szCs w:val="20"/>
    </w:rPr>
  </w:style>
  <w:style w:type="character" w:styleId="Mealviewfulltext" w:customStyle="1">
    <w:name w:val="mealviewfulltext"/>
    <w:basedOn w:val="DefaultParagraphFont"/>
    <w:qFormat/>
    <w:rPr/>
  </w:style>
  <w:style w:type="character" w:styleId="NternetBalants">
    <w:name w:val="Hyperlink"/>
    <w:basedOn w:val="DefaultParagraphFont"/>
    <w:uiPriority w:val="99"/>
    <w:rPr>
      <w:color w:val="0000FF"/>
      <w:u w:val="single"/>
    </w:rPr>
  </w:style>
  <w:style w:type="character" w:styleId="Strong">
    <w:name w:val="Strong"/>
    <w:basedOn w:val="DefaultParagraphFont"/>
    <w:uiPriority w:val="22"/>
    <w:qFormat/>
    <w:rPr>
      <w:b/>
      <w:bCs/>
    </w:rPr>
  </w:style>
  <w:style w:type="character" w:styleId="Mealviewfull" w:customStyle="1">
    <w:name w:val="mealviewfull"/>
    <w:basedOn w:val="DefaultParagraphFont"/>
    <w:qFormat/>
    <w:rPr/>
  </w:style>
  <w:style w:type="character" w:styleId="Ayet-number1" w:customStyle="1">
    <w:name w:val="ayet-number1"/>
    <w:basedOn w:val="DefaultParagraphFont"/>
    <w:qFormat/>
    <w:rPr>
      <w:rFonts w:ascii="KuranFont" w:hAnsi="KuranFont"/>
      <w:color w:val="A38610"/>
      <w:sz w:val="30"/>
      <w:szCs w:val="30"/>
    </w:rPr>
  </w:style>
  <w:style w:type="character" w:styleId="Charoverride-26" w:customStyle="1">
    <w:name w:val="charoverride-26"/>
    <w:basedOn w:val="DefaultParagraphFont"/>
    <w:qFormat/>
    <w:rPr/>
  </w:style>
  <w:style w:type="character" w:styleId="Vurgu">
    <w:name w:val="Emphasis"/>
    <w:basedOn w:val="DefaultParagraphFont"/>
    <w:uiPriority w:val="20"/>
    <w:qFormat/>
    <w:rPr>
      <w:b/>
      <w:bCs/>
      <w:i w:val="false"/>
      <w:iCs w:val="false"/>
    </w:rPr>
  </w:style>
  <w:style w:type="character" w:styleId="St1" w:customStyle="1">
    <w:name w:val="st1"/>
    <w:basedOn w:val="DefaultParagraphFont"/>
    <w:qFormat/>
    <w:rPr/>
  </w:style>
  <w:style w:type="character" w:styleId="Hadith" w:customStyle="1">
    <w:name w:val="hadith"/>
    <w:basedOn w:val="DefaultParagraphFont"/>
    <w:qFormat/>
    <w:rPr/>
  </w:style>
  <w:style w:type="paragraph" w:styleId="Balk">
    <w:name w:val="Başlık"/>
    <w:basedOn w:val="Normal"/>
    <w:next w:val="MetinGvdesi"/>
    <w:qFormat/>
    <w:pPr>
      <w:keepNext w:val="true"/>
      <w:spacing w:before="240" w:after="120"/>
    </w:pPr>
    <w:rPr>
      <w:rFonts w:ascii="Liberation Sans" w:hAnsi="Liberation Sans" w:eastAsia="Noto Sans CJK SC" w:cs="Lohit Devanagari"/>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styleId="Dizin">
    <w:name w:val="Dizin"/>
    <w:basedOn w:val="Normal"/>
    <w:qFormat/>
    <w:pPr>
      <w:suppressLineNumbers/>
    </w:pPr>
    <w:rPr>
      <w:rFonts w:cs="Lohit Devanagari"/>
    </w:rPr>
  </w:style>
  <w:style w:type="paragraph" w:styleId="Stvealtbilgi">
    <w:name w:val="Üst ve alt bilgi"/>
    <w:basedOn w:val="Normal"/>
    <w:qFormat/>
    <w:pPr/>
    <w:rPr/>
  </w:style>
  <w:style w:type="paragraph" w:styleId="Stbilgi">
    <w:name w:val="Header"/>
    <w:basedOn w:val="Normal"/>
    <w:link w:val="StbilgiChar"/>
    <w:uiPriority w:val="99"/>
    <w:pPr>
      <w:tabs>
        <w:tab w:val="clear" w:pos="708"/>
        <w:tab w:val="center" w:pos="4153" w:leader="none"/>
        <w:tab w:val="right" w:pos="8306" w:leader="none"/>
      </w:tabs>
      <w:spacing w:lineRule="auto" w:line="240" w:before="0" w:after="0"/>
    </w:pPr>
    <w:rPr/>
  </w:style>
  <w:style w:type="paragraph" w:styleId="Altbilgi">
    <w:name w:val="Footer"/>
    <w:basedOn w:val="Normal"/>
    <w:link w:val="AltbilgiChar"/>
    <w:uiPriority w:val="99"/>
    <w:pPr>
      <w:tabs>
        <w:tab w:val="clear" w:pos="708"/>
        <w:tab w:val="center" w:pos="4153" w:leader="none"/>
        <w:tab w:val="right" w:pos="8306" w:leader="none"/>
      </w:tabs>
      <w:spacing w:lineRule="auto" w:line="240" w:before="0" w:after="0"/>
    </w:pPr>
    <w:rPr/>
  </w:style>
  <w:style w:type="paragraph" w:styleId="Dipnot">
    <w:name w:val="Footnote Text"/>
    <w:basedOn w:val="Normal"/>
    <w:link w:val="DipnotMetniChar"/>
    <w:pPr>
      <w:spacing w:lineRule="auto" w:line="240" w:before="0" w:after="0"/>
    </w:pPr>
    <w:rPr>
      <w:rFonts w:ascii="Times New Roman" w:hAnsi="Times New Roman" w:eastAsia="Times New Roman" w:cs="Times New Roman"/>
      <w:sz w:val="20"/>
      <w:szCs w:val="20"/>
    </w:rPr>
  </w:style>
  <w:style w:type="paragraph" w:styleId="MetinGvdesiGirintisi">
    <w:name w:val="Body Text Indent"/>
    <w:basedOn w:val="Normal"/>
    <w:link w:val="GvdeMetniGirintisiChar"/>
    <w:pPr>
      <w:spacing w:lineRule="auto" w:line="240" w:before="0" w:after="0"/>
      <w:ind w:firstLine="708"/>
      <w:jc w:val="both"/>
    </w:pPr>
    <w:rPr>
      <w:rFonts w:ascii="Times New Roman" w:hAnsi="Times New Roman" w:eastAsia="Times New Roman" w:cs="Times New Roman"/>
      <w:sz w:val="28"/>
      <w:szCs w:val="28"/>
    </w:rPr>
  </w:style>
  <w:style w:type="paragraph" w:styleId="BelgeBal">
    <w:name w:val="Title"/>
    <w:basedOn w:val="Normal"/>
    <w:link w:val="KonuBalChar"/>
    <w:qFormat/>
    <w:pPr>
      <w:spacing w:lineRule="auto" w:line="240" w:before="0" w:after="0"/>
      <w:jc w:val="center"/>
    </w:pPr>
    <w:rPr>
      <w:rFonts w:ascii="Times New Roman" w:hAnsi="Times New Roman" w:eastAsia="Times New Roman" w:cs="Times New Roman"/>
      <w:b/>
      <w:bCs/>
      <w:sz w:val="20"/>
      <w:szCs w:val="20"/>
    </w:rPr>
  </w:style>
  <w:style w:type="paragraph" w:styleId="NormalWeb">
    <w:name w:val="Normal (Web)"/>
    <w:basedOn w:val="Normal"/>
    <w:uiPriority w:val="99"/>
    <w:qFormat/>
    <w:pPr>
      <w:spacing w:lineRule="auto" w:line="240" w:beforeAutospacing="1" w:afterAutospacing="1"/>
    </w:pPr>
    <w:rPr>
      <w:rFonts w:ascii="Times New Roman" w:hAnsi="Times New Roman" w:eastAsia="Times New Roman" w:cs="Times New Roman"/>
      <w:sz w:val="24"/>
      <w:szCs w:val="24"/>
    </w:rPr>
  </w:style>
  <w:style w:type="paragraph" w:styleId="NoSpacing">
    <w:name w:val="No Spacing"/>
    <w:uiPriority w:val="1"/>
    <w:qFormat/>
    <w:pPr>
      <w:widowControl/>
      <w:bidi w:val="0"/>
      <w:spacing w:lineRule="auto" w:line="240" w:before="0" w:after="0"/>
      <w:jc w:val="left"/>
    </w:pPr>
    <w:rPr>
      <w:rFonts w:ascii="Times New Roman" w:hAnsi="Times New Roman" w:eastAsia="Times New Roman" w:cs="Times New Roman"/>
      <w:color w:val="auto"/>
      <w:kern w:val="0"/>
      <w:sz w:val="24"/>
      <w:szCs w:val="24"/>
      <w:lang w:val="tr-TR" w:eastAsia="tr-TR" w:bidi="ar-SA"/>
    </w:rPr>
  </w:style>
  <w:style w:type="paragraph" w:styleId="ListParagraph">
    <w:name w:val="List Paragraph"/>
    <w:basedOn w:val="Normal"/>
    <w:uiPriority w:val="34"/>
    <w:qFormat/>
    <w:pPr>
      <w:spacing w:before="0" w:after="200"/>
      <w:ind w:left="720" w:hanging="0"/>
      <w:contextualSpacing/>
    </w:pPr>
    <w:rPr/>
  </w:style>
  <w:style w:type="numbering" w:styleId="NoList" w:default="1">
    <w:name w:val="No List"/>
    <w:uiPriority w:val="99"/>
    <w:qFormat/>
  </w:style>
  <w:style w:type="table" w:default="1" w:styleId="style105">
    <w:name w:val="Normal Table"/>
    <w:uiPriority w:val="99"/>
    <w:tblPr>
      <w:tblCellMar>
        <w:top w:w="0" w:type="dxa"/>
        <w:left w:w="108" w:type="dxa"/>
        <w:bottom w:w="0" w:type="dxa"/>
        <w:right w:w="108" w:type="dxa"/>
      </w:tblCellMar>
    </w:tblPr>
    <w:tc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A57CC-F08B-4527-A940-0E02AF6E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Application>LibreOffice/7.5.1.2$Linux_X86_64 LibreOffice_project/50$Build-2</Application>
  <AppVersion>15.0000</AppVersion>
  <Pages>2</Pages>
  <Words>567</Words>
  <Characters>3955</Characters>
  <CharactersWithSpaces>4809</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2018-10-16T16:50:00Z</dcterms:created>
  <dc:creator>hp</dc:creator>
  <dc:description/>
  <dc:language>tr-TR</dc:language>
  <cp:lastModifiedBy>BTK-W09</cp:lastModifiedBy>
  <dcterms:modified xsi:type="dcterms:W3CDTF">2024-09-18T12:25:44Z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68eb25b1437b4651be3fdafa895138b4</vt:lpwstr>
  </property>
</Properties>
</file>